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59ED4C4D" w:rsidR="00815962" w:rsidRPr="003A1054" w:rsidRDefault="007C1821" w:rsidP="00D74209">
      <w:pPr>
        <w:jc w:val="center"/>
        <w:rPr>
          <w:lang w:val="lt-LT"/>
        </w:rPr>
      </w:pPr>
      <w:r w:rsidRPr="003A1054">
        <w:rPr>
          <w:noProof/>
          <w:sz w:val="23"/>
          <w:szCs w:val="23"/>
          <w:lang w:val="lt-LT" w:eastAsia="lt-LT"/>
        </w:rPr>
        <w:drawing>
          <wp:inline distT="0" distB="0" distL="0" distR="0" wp14:anchorId="1D454794" wp14:editId="530B9912">
            <wp:extent cx="2644140" cy="914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914400"/>
                    </a:xfrm>
                    <a:prstGeom prst="rect">
                      <a:avLst/>
                    </a:prstGeom>
                    <a:noFill/>
                    <a:ln>
                      <a:noFill/>
                    </a:ln>
                  </pic:spPr>
                </pic:pic>
              </a:graphicData>
            </a:graphic>
          </wp:inline>
        </w:drawing>
      </w:r>
      <w:r w:rsidR="00D74209" w:rsidRPr="003A1054">
        <w:rPr>
          <w:rFonts w:ascii="Arial" w:hAnsi="Arial" w:cs="Arial"/>
          <w:noProof/>
          <w:sz w:val="20"/>
          <w:lang w:val="lt-LT" w:eastAsia="lt-LT"/>
        </w:rPr>
        <w:drawing>
          <wp:inline distT="0" distB="0" distL="0" distR="0" wp14:anchorId="3D53BF91" wp14:editId="6FD2D2EA">
            <wp:extent cx="1038225" cy="919643"/>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942135"/>
                    </a:xfrm>
                    <a:prstGeom prst="rect">
                      <a:avLst/>
                    </a:prstGeom>
                    <a:noFill/>
                    <a:ln>
                      <a:noFill/>
                    </a:ln>
                  </pic:spPr>
                </pic:pic>
              </a:graphicData>
            </a:graphic>
          </wp:inline>
        </w:drawing>
      </w:r>
      <w:r w:rsidR="00D74209" w:rsidRPr="003A1054">
        <w:rPr>
          <w:b/>
          <w:noProof/>
          <w:szCs w:val="24"/>
          <w:lang w:val="lt-LT" w:eastAsia="lt-LT"/>
        </w:rPr>
        <w:drawing>
          <wp:inline distT="0" distB="0" distL="0" distR="0" wp14:anchorId="15102D42" wp14:editId="2DE1EB9B">
            <wp:extent cx="778532" cy="971550"/>
            <wp:effectExtent l="0" t="0" r="254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995439"/>
                    </a:xfrm>
                    <a:prstGeom prst="rect">
                      <a:avLst/>
                    </a:prstGeom>
                    <a:noFill/>
                  </pic:spPr>
                </pic:pic>
              </a:graphicData>
            </a:graphic>
          </wp:inline>
        </w:drawing>
      </w:r>
      <w:r w:rsidR="003336ED" w:rsidRPr="003A1054">
        <w:rPr>
          <w:noProof/>
          <w:lang w:val="lt-LT" w:eastAsia="lt-LT"/>
        </w:rPr>
        <w:drawing>
          <wp:inline distT="0" distB="0" distL="0" distR="0" wp14:anchorId="7F94F924" wp14:editId="3E416190">
            <wp:extent cx="1095375" cy="91843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695" cy="919537"/>
                    </a:xfrm>
                    <a:prstGeom prst="rect">
                      <a:avLst/>
                    </a:prstGeom>
                    <a:noFill/>
                    <a:ln>
                      <a:noFill/>
                    </a:ln>
                  </pic:spPr>
                </pic:pic>
              </a:graphicData>
            </a:graphic>
          </wp:inline>
        </w:drawing>
      </w:r>
    </w:p>
    <w:p w14:paraId="3C8D3003" w14:textId="77777777" w:rsidR="00C604D3" w:rsidRPr="003A1054" w:rsidRDefault="00C604D3" w:rsidP="000541E4">
      <w:pPr>
        <w:jc w:val="center"/>
        <w:rPr>
          <w:b/>
          <w:lang w:val="lt-LT"/>
        </w:rPr>
      </w:pPr>
    </w:p>
    <w:p w14:paraId="2EC3960F" w14:textId="0165334A" w:rsidR="00815962" w:rsidRPr="003A1054" w:rsidRDefault="005911AF" w:rsidP="000541E4">
      <w:pPr>
        <w:jc w:val="center"/>
        <w:rPr>
          <w:b/>
          <w:lang w:val="lt-LT"/>
        </w:rPr>
      </w:pPr>
      <w:r w:rsidRPr="003A1054">
        <w:rPr>
          <w:b/>
          <w:lang w:val="lt-LT"/>
        </w:rPr>
        <w:t xml:space="preserve">PAPRASTAS </w:t>
      </w:r>
      <w:r w:rsidR="000541E4" w:rsidRPr="003A1054">
        <w:rPr>
          <w:b/>
          <w:lang w:val="lt-LT"/>
        </w:rPr>
        <w:t xml:space="preserve">KVIETIMAS TEIKTI VIETOS PROJEKTUS Nr. </w:t>
      </w:r>
      <w:r w:rsidR="00997C1F">
        <w:rPr>
          <w:b/>
          <w:lang w:val="lt-LT"/>
        </w:rPr>
        <w:t>5</w:t>
      </w:r>
    </w:p>
    <w:p w14:paraId="302C3683" w14:textId="2E3A7972" w:rsidR="0065482F" w:rsidRPr="003A1054" w:rsidRDefault="00B06BDF" w:rsidP="0065482F">
      <w:pPr>
        <w:ind w:firstLine="567"/>
        <w:jc w:val="both"/>
        <w:rPr>
          <w:szCs w:val="24"/>
          <w:lang w:val="lt-LT"/>
        </w:rPr>
      </w:pPr>
      <w:r w:rsidRPr="003A1054">
        <w:rPr>
          <w:szCs w:val="24"/>
          <w:lang w:val="lt-LT"/>
        </w:rPr>
        <w:t>Tauragės rajono vietos veiklos grupė</w:t>
      </w:r>
      <w:r w:rsidR="0065482F" w:rsidRPr="003A1054">
        <w:rPr>
          <w:szCs w:val="24"/>
          <w:lang w:val="lt-LT"/>
        </w:rPr>
        <w:t xml:space="preserve"> kviečia teikti </w:t>
      </w:r>
      <w:r w:rsidRPr="003A1054">
        <w:rPr>
          <w:szCs w:val="24"/>
          <w:lang w:val="lt-LT"/>
        </w:rPr>
        <w:t>paprastus kaimo vietovių vietos projektus</w:t>
      </w:r>
      <w:r w:rsidR="0065482F" w:rsidRPr="003A1054">
        <w:rPr>
          <w:szCs w:val="24"/>
          <w:lang w:val="lt-LT"/>
        </w:rPr>
        <w:t xml:space="preserve"> pagal kaimo vietovių </w:t>
      </w:r>
      <w:r w:rsidR="00F45B6D" w:rsidRPr="003A1054">
        <w:rPr>
          <w:szCs w:val="24"/>
          <w:lang w:val="lt-LT"/>
        </w:rPr>
        <w:t>vietos plėtros strategijos</w:t>
      </w:r>
      <w:r w:rsidR="0065482F" w:rsidRPr="003A1054">
        <w:rPr>
          <w:szCs w:val="24"/>
          <w:lang w:val="lt-LT"/>
        </w:rPr>
        <w:t xml:space="preserve"> </w:t>
      </w:r>
      <w:r w:rsidRPr="003A1054">
        <w:rPr>
          <w:szCs w:val="24"/>
          <w:lang w:val="lt-LT"/>
        </w:rPr>
        <w:t xml:space="preserve">„Tauragės rajono vietos veiklos grupės 2016 – 2023 metų vietos plėtros strategija“ </w:t>
      </w:r>
      <w:r w:rsidR="0065482F" w:rsidRPr="003A1054">
        <w:rPr>
          <w:szCs w:val="24"/>
          <w:lang w:val="lt-LT"/>
        </w:rPr>
        <w:t>(toliau – VPS)</w:t>
      </w:r>
      <w:r w:rsidR="00837CAA" w:rsidRPr="003A1054">
        <w:rPr>
          <w:szCs w:val="24"/>
          <w:lang w:val="lt-LT"/>
        </w:rPr>
        <w:t xml:space="preserve"> </w:t>
      </w:r>
      <w:r w:rsidR="00997C1F">
        <w:rPr>
          <w:szCs w:val="24"/>
          <w:lang w:val="lt-LT"/>
        </w:rPr>
        <w:t xml:space="preserve">priemonės </w:t>
      </w:r>
      <w:r w:rsidRPr="003A1054">
        <w:rPr>
          <w:szCs w:val="24"/>
          <w:lang w:val="lt-LT"/>
        </w:rPr>
        <w:t>„Investicijos į materialųjį turtą</w:t>
      </w:r>
      <w:r w:rsidR="005911AF" w:rsidRPr="003A1054">
        <w:rPr>
          <w:szCs w:val="24"/>
          <w:lang w:val="lt-LT"/>
        </w:rPr>
        <w:t>“ veiklos sritį</w:t>
      </w:r>
      <w:r w:rsidRPr="003A1054">
        <w:rPr>
          <w:szCs w:val="24"/>
          <w:lang w:val="lt-LT"/>
        </w:rPr>
        <w:t xml:space="preserve"> „Parama žemės ūkio produktų perdirbimui ir rinkodarai.“ Nr. LEADER-19.2-4.2</w:t>
      </w:r>
      <w:r w:rsidR="00F45B6D" w:rsidRPr="003A1054">
        <w:rPr>
          <w:szCs w:val="24"/>
          <w:lang w:val="lt-LT"/>
        </w:rPr>
        <w:t>:</w:t>
      </w:r>
      <w:r w:rsidR="0065482F" w:rsidRPr="003A1054">
        <w:rPr>
          <w:szCs w:val="24"/>
          <w:lang w:val="lt-LT"/>
        </w:rPr>
        <w:t xml:space="preserve"> </w:t>
      </w:r>
    </w:p>
    <w:tbl>
      <w:tblPr>
        <w:tblStyle w:val="TableGrid"/>
        <w:tblW w:w="0" w:type="auto"/>
        <w:tblLook w:val="04A0" w:firstRow="1" w:lastRow="0" w:firstColumn="1" w:lastColumn="0" w:noHBand="0" w:noVBand="1"/>
      </w:tblPr>
      <w:tblGrid>
        <w:gridCol w:w="3397"/>
        <w:gridCol w:w="6521"/>
      </w:tblGrid>
      <w:tr w:rsidR="00242297" w:rsidRPr="003A1054" w14:paraId="76CB635F" w14:textId="77777777" w:rsidTr="00F45B6D">
        <w:tc>
          <w:tcPr>
            <w:tcW w:w="3397" w:type="dxa"/>
            <w:vMerge w:val="restart"/>
            <w:vAlign w:val="center"/>
          </w:tcPr>
          <w:p w14:paraId="04CC9029" w14:textId="11E81594" w:rsidR="00F45B6D" w:rsidRPr="003A1054" w:rsidRDefault="005911AF" w:rsidP="00997C1F">
            <w:pPr>
              <w:rPr>
                <w:b/>
                <w:szCs w:val="24"/>
                <w:lang w:val="lt-LT"/>
              </w:rPr>
            </w:pPr>
            <w:r w:rsidRPr="003A1054">
              <w:rPr>
                <w:b/>
                <w:szCs w:val="24"/>
                <w:lang w:val="lt-LT"/>
              </w:rPr>
              <w:t xml:space="preserve">VPS </w:t>
            </w:r>
            <w:r w:rsidR="00997C1F">
              <w:rPr>
                <w:b/>
                <w:szCs w:val="24"/>
                <w:lang w:val="lt-LT"/>
              </w:rPr>
              <w:t xml:space="preserve">priemonės </w:t>
            </w:r>
            <w:r w:rsidRPr="003A1054">
              <w:rPr>
                <w:b/>
                <w:szCs w:val="24"/>
                <w:lang w:val="lt-LT"/>
              </w:rPr>
              <w:t>„Investicijos į materialųjį turtą“ LEADER-19.2-4 veiklos sritį „Parama žemės ūkio produktų perdirbimui ir rinkodarai.“ Nr. LEADER-19.2-4.2.</w:t>
            </w:r>
          </w:p>
        </w:tc>
        <w:tc>
          <w:tcPr>
            <w:tcW w:w="6521" w:type="dxa"/>
          </w:tcPr>
          <w:p w14:paraId="2615D7CD" w14:textId="77777777" w:rsidR="006A7463" w:rsidRPr="00647C8C" w:rsidRDefault="00242297" w:rsidP="006A7463">
            <w:pPr>
              <w:ind w:left="427"/>
              <w:jc w:val="both"/>
              <w:rPr>
                <w:szCs w:val="24"/>
                <w:lang w:val="lt-LT"/>
              </w:rPr>
            </w:pPr>
            <w:r w:rsidRPr="00647C8C">
              <w:rPr>
                <w:szCs w:val="24"/>
                <w:lang w:val="lt-LT"/>
              </w:rPr>
              <w:t>Remiamos veiklos:</w:t>
            </w:r>
          </w:p>
          <w:p w14:paraId="3552FAF9" w14:textId="2F04994F" w:rsidR="006A7463" w:rsidRPr="003A1054" w:rsidRDefault="00242297" w:rsidP="006A7463">
            <w:pPr>
              <w:numPr>
                <w:ilvl w:val="0"/>
                <w:numId w:val="1"/>
              </w:numPr>
              <w:jc w:val="both"/>
              <w:rPr>
                <w:szCs w:val="24"/>
                <w:lang w:val="lt-LT"/>
              </w:rPr>
            </w:pPr>
            <w:r w:rsidRPr="003A1054">
              <w:rPr>
                <w:i/>
                <w:szCs w:val="24"/>
                <w:lang w:val="lt-LT"/>
              </w:rPr>
              <w:t xml:space="preserve"> </w:t>
            </w:r>
            <w:r w:rsidR="006A7463" w:rsidRPr="003A1054">
              <w:rPr>
                <w:szCs w:val="24"/>
                <w:lang w:val="lt-LT"/>
              </w:rPr>
              <w:t>parama žemės ūkio produktų (vaisių, uogų, daržovių, grybų ir augalininkystės produktų) perdirbimui ir (arba) inovacijų, naujų technologijų bei procesų diegimui, siekiant sukurti naujus ir (arba) aukštesnės pridėtinės vertės, geresnės kokybės produktus;</w:t>
            </w:r>
          </w:p>
          <w:p w14:paraId="4B73024A" w14:textId="77777777" w:rsidR="006A7463" w:rsidRPr="003A1054" w:rsidRDefault="006A7463" w:rsidP="006A7463">
            <w:pPr>
              <w:numPr>
                <w:ilvl w:val="0"/>
                <w:numId w:val="1"/>
              </w:numPr>
              <w:jc w:val="both"/>
              <w:rPr>
                <w:szCs w:val="24"/>
                <w:lang w:val="lt-LT"/>
              </w:rPr>
            </w:pPr>
            <w:r w:rsidRPr="003A1054">
              <w:rPr>
                <w:szCs w:val="24"/>
                <w:lang w:val="lt-LT"/>
              </w:rPr>
              <w:t xml:space="preserve">žemės ūkio produktų (vaisių, uogų, daržovių, grybų ir augalininkystės produktų) rinkodara; </w:t>
            </w:r>
          </w:p>
          <w:p w14:paraId="162BB6F0" w14:textId="77777777" w:rsidR="006A7463" w:rsidRPr="003A1054" w:rsidRDefault="006A7463" w:rsidP="006A7463">
            <w:pPr>
              <w:numPr>
                <w:ilvl w:val="0"/>
                <w:numId w:val="1"/>
              </w:numPr>
              <w:jc w:val="both"/>
              <w:rPr>
                <w:szCs w:val="24"/>
                <w:lang w:val="lt-LT"/>
              </w:rPr>
            </w:pPr>
            <w:r w:rsidRPr="003A1054">
              <w:rPr>
                <w:szCs w:val="24"/>
                <w:lang w:val="lt-LT"/>
              </w:rPr>
              <w:t>žemės ūkio produktų (vaisių, uogų, daržovių, grybų ir augalininkystės produktų) rinkodara, susijusi su naujomis rinkomis, trumpomis tiekimo grandinėmis ir (arba) plėtra.</w:t>
            </w:r>
          </w:p>
          <w:p w14:paraId="36C320BA" w14:textId="4A90EFF9" w:rsidR="00F45B6D" w:rsidRPr="003A1054" w:rsidRDefault="00F45B6D" w:rsidP="0065482F">
            <w:pPr>
              <w:jc w:val="both"/>
              <w:rPr>
                <w:i/>
                <w:szCs w:val="24"/>
                <w:lang w:val="lt-LT"/>
              </w:rPr>
            </w:pPr>
          </w:p>
        </w:tc>
      </w:tr>
      <w:tr w:rsidR="00242297" w:rsidRPr="003A1054" w14:paraId="5A338D90" w14:textId="77777777" w:rsidTr="00421CC6">
        <w:tc>
          <w:tcPr>
            <w:tcW w:w="3397" w:type="dxa"/>
            <w:vMerge/>
          </w:tcPr>
          <w:p w14:paraId="73B0319D" w14:textId="77777777" w:rsidR="00F45B6D" w:rsidRPr="003A1054" w:rsidRDefault="00F45B6D" w:rsidP="0065482F">
            <w:pPr>
              <w:jc w:val="both"/>
              <w:rPr>
                <w:szCs w:val="24"/>
                <w:lang w:val="lt-LT"/>
              </w:rPr>
            </w:pPr>
          </w:p>
        </w:tc>
        <w:tc>
          <w:tcPr>
            <w:tcW w:w="6521" w:type="dxa"/>
          </w:tcPr>
          <w:p w14:paraId="7E99BAA9" w14:textId="77777777" w:rsidR="00892608" w:rsidRDefault="00242297" w:rsidP="00892608">
            <w:pPr>
              <w:jc w:val="both"/>
              <w:rPr>
                <w:szCs w:val="24"/>
              </w:rPr>
            </w:pPr>
            <w:r w:rsidRPr="00647C8C">
              <w:rPr>
                <w:rFonts w:eastAsia="Calibri"/>
                <w:szCs w:val="24"/>
                <w:lang w:val="lt-LT"/>
              </w:rPr>
              <w:t>Tinkami vietos projektų vykdytojai:</w:t>
            </w:r>
            <w:r w:rsidRPr="003A1054">
              <w:rPr>
                <w:rFonts w:eastAsia="Calibri"/>
                <w:szCs w:val="24"/>
                <w:lang w:val="lt-LT"/>
              </w:rPr>
              <w:t xml:space="preserve"> </w:t>
            </w:r>
            <w:proofErr w:type="spellStart"/>
            <w:r w:rsidR="00892608">
              <w:rPr>
                <w:szCs w:val="24"/>
              </w:rPr>
              <w:t>Pareiškėjais</w:t>
            </w:r>
            <w:proofErr w:type="spellEnd"/>
            <w:r w:rsidR="00892608">
              <w:rPr>
                <w:szCs w:val="24"/>
              </w:rPr>
              <w:t xml:space="preserve"> </w:t>
            </w:r>
            <w:proofErr w:type="spellStart"/>
            <w:r w:rsidR="00892608">
              <w:rPr>
                <w:szCs w:val="24"/>
              </w:rPr>
              <w:t>gali</w:t>
            </w:r>
            <w:proofErr w:type="spellEnd"/>
            <w:r w:rsidR="00892608">
              <w:rPr>
                <w:szCs w:val="24"/>
              </w:rPr>
              <w:t xml:space="preserve"> </w:t>
            </w:r>
            <w:proofErr w:type="spellStart"/>
            <w:r w:rsidR="00892608">
              <w:rPr>
                <w:szCs w:val="24"/>
              </w:rPr>
              <w:t>būti</w:t>
            </w:r>
            <w:proofErr w:type="spellEnd"/>
            <w:r w:rsidR="00892608">
              <w:rPr>
                <w:szCs w:val="24"/>
              </w:rPr>
              <w:t xml:space="preserve"> </w:t>
            </w:r>
            <w:proofErr w:type="spellStart"/>
            <w:r w:rsidR="00892608">
              <w:rPr>
                <w:szCs w:val="24"/>
              </w:rPr>
              <w:t>Tauragės</w:t>
            </w:r>
            <w:proofErr w:type="spellEnd"/>
            <w:r w:rsidR="00892608">
              <w:rPr>
                <w:szCs w:val="24"/>
              </w:rPr>
              <w:t xml:space="preserve"> </w:t>
            </w:r>
            <w:proofErr w:type="spellStart"/>
            <w:r w:rsidR="00892608">
              <w:rPr>
                <w:szCs w:val="24"/>
              </w:rPr>
              <w:t>rajone</w:t>
            </w:r>
            <w:proofErr w:type="spellEnd"/>
            <w:r w:rsidR="00892608">
              <w:rPr>
                <w:szCs w:val="24"/>
              </w:rPr>
              <w:t xml:space="preserve"> (</w:t>
            </w:r>
            <w:proofErr w:type="spellStart"/>
            <w:r w:rsidR="00892608">
              <w:rPr>
                <w:szCs w:val="24"/>
              </w:rPr>
              <w:t>išskyrus</w:t>
            </w:r>
            <w:proofErr w:type="spellEnd"/>
            <w:r w:rsidR="00892608">
              <w:rPr>
                <w:szCs w:val="24"/>
              </w:rPr>
              <w:t xml:space="preserve"> </w:t>
            </w:r>
            <w:proofErr w:type="spellStart"/>
            <w:r w:rsidR="00892608">
              <w:rPr>
                <w:szCs w:val="24"/>
              </w:rPr>
              <w:t>miestą</w:t>
            </w:r>
            <w:proofErr w:type="spellEnd"/>
            <w:r w:rsidR="00892608">
              <w:rPr>
                <w:szCs w:val="24"/>
              </w:rPr>
              <w:t xml:space="preserve">) </w:t>
            </w:r>
            <w:proofErr w:type="spellStart"/>
            <w:r w:rsidR="00892608">
              <w:rPr>
                <w:szCs w:val="24"/>
              </w:rPr>
              <w:t>registruoti</w:t>
            </w:r>
            <w:proofErr w:type="spellEnd"/>
            <w:r w:rsidR="00892608">
              <w:rPr>
                <w:szCs w:val="24"/>
              </w:rPr>
              <w:t xml:space="preserve"> </w:t>
            </w:r>
            <w:proofErr w:type="spellStart"/>
            <w:r w:rsidR="00892608">
              <w:rPr>
                <w:szCs w:val="24"/>
              </w:rPr>
              <w:t>privatūs</w:t>
            </w:r>
            <w:proofErr w:type="spellEnd"/>
            <w:r w:rsidR="00892608">
              <w:rPr>
                <w:szCs w:val="24"/>
              </w:rPr>
              <w:t xml:space="preserve"> </w:t>
            </w:r>
            <w:proofErr w:type="spellStart"/>
            <w:r w:rsidR="00892608">
              <w:rPr>
                <w:szCs w:val="24"/>
              </w:rPr>
              <w:t>juridiniai</w:t>
            </w:r>
            <w:proofErr w:type="spellEnd"/>
            <w:r w:rsidR="00892608">
              <w:rPr>
                <w:szCs w:val="24"/>
              </w:rPr>
              <w:t xml:space="preserve"> </w:t>
            </w:r>
            <w:proofErr w:type="spellStart"/>
            <w:r w:rsidR="00892608">
              <w:rPr>
                <w:szCs w:val="24"/>
              </w:rPr>
              <w:t>ir</w:t>
            </w:r>
            <w:proofErr w:type="spellEnd"/>
            <w:r w:rsidR="00892608">
              <w:rPr>
                <w:szCs w:val="24"/>
              </w:rPr>
              <w:t xml:space="preserve"> </w:t>
            </w:r>
            <w:proofErr w:type="spellStart"/>
            <w:r w:rsidR="00892608">
              <w:rPr>
                <w:szCs w:val="24"/>
              </w:rPr>
              <w:t>fiziniai</w:t>
            </w:r>
            <w:proofErr w:type="spellEnd"/>
            <w:r w:rsidR="00892608">
              <w:rPr>
                <w:szCs w:val="24"/>
              </w:rPr>
              <w:t xml:space="preserve"> </w:t>
            </w:r>
            <w:proofErr w:type="spellStart"/>
            <w:r w:rsidR="00892608">
              <w:rPr>
                <w:szCs w:val="24"/>
              </w:rPr>
              <w:t>asmenys</w:t>
            </w:r>
            <w:proofErr w:type="spellEnd"/>
            <w:r w:rsidR="00892608">
              <w:rPr>
                <w:szCs w:val="24"/>
              </w:rPr>
              <w:t xml:space="preserve">. </w:t>
            </w:r>
          </w:p>
          <w:p w14:paraId="6A9AE5AC" w14:textId="77777777" w:rsidR="00892608" w:rsidRDefault="00892608" w:rsidP="00892608">
            <w:pPr>
              <w:jc w:val="both"/>
              <w:rPr>
                <w:b/>
                <w:i/>
                <w:szCs w:val="24"/>
              </w:rPr>
            </w:pPr>
            <w:proofErr w:type="spellStart"/>
            <w:r>
              <w:rPr>
                <w:b/>
                <w:i/>
                <w:szCs w:val="24"/>
              </w:rPr>
              <w:t>Tinkami</w:t>
            </w:r>
            <w:proofErr w:type="spellEnd"/>
            <w:r>
              <w:rPr>
                <w:b/>
                <w:i/>
                <w:szCs w:val="24"/>
              </w:rPr>
              <w:t xml:space="preserve"> </w:t>
            </w:r>
            <w:proofErr w:type="spellStart"/>
            <w:r>
              <w:rPr>
                <w:b/>
                <w:i/>
                <w:szCs w:val="24"/>
              </w:rPr>
              <w:t>paramos</w:t>
            </w:r>
            <w:proofErr w:type="spellEnd"/>
            <w:r>
              <w:rPr>
                <w:b/>
                <w:i/>
                <w:szCs w:val="24"/>
              </w:rPr>
              <w:t xml:space="preserve"> </w:t>
            </w:r>
            <w:proofErr w:type="spellStart"/>
            <w:r>
              <w:rPr>
                <w:b/>
                <w:i/>
                <w:szCs w:val="24"/>
              </w:rPr>
              <w:t>gavėjai</w:t>
            </w:r>
            <w:proofErr w:type="spellEnd"/>
            <w:r>
              <w:rPr>
                <w:b/>
                <w:i/>
                <w:szCs w:val="24"/>
              </w:rPr>
              <w:t>:</w:t>
            </w:r>
          </w:p>
          <w:p w14:paraId="5369E734" w14:textId="77777777" w:rsidR="00892608" w:rsidRDefault="00892608" w:rsidP="00892608">
            <w:pPr>
              <w:numPr>
                <w:ilvl w:val="0"/>
                <w:numId w:val="2"/>
              </w:numPr>
              <w:tabs>
                <w:tab w:val="left" w:pos="650"/>
              </w:tabs>
              <w:ind w:left="0" w:firstLine="360"/>
              <w:jc w:val="both"/>
            </w:pPr>
            <w:proofErr w:type="spellStart"/>
            <w:r>
              <w:t>ūkininkas</w:t>
            </w:r>
            <w:proofErr w:type="spellEnd"/>
            <w:r>
              <w:t xml:space="preserve"> (</w:t>
            </w:r>
            <w:proofErr w:type="spellStart"/>
            <w:r>
              <w:t>fizinis</w:t>
            </w:r>
            <w:proofErr w:type="spellEnd"/>
            <w:r>
              <w:t xml:space="preserve"> </w:t>
            </w:r>
            <w:proofErr w:type="spellStart"/>
            <w:r>
              <w:t>asmuo</w:t>
            </w:r>
            <w:proofErr w:type="spellEnd"/>
            <w:r>
              <w:t xml:space="preserve">, </w:t>
            </w:r>
            <w:proofErr w:type="spellStart"/>
            <w:r>
              <w:t>įregistravęs</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valdą</w:t>
            </w:r>
            <w:proofErr w:type="spellEnd"/>
            <w:r>
              <w:t xml:space="preserve"> </w:t>
            </w:r>
            <w:proofErr w:type="spellStart"/>
            <w:r>
              <w:t>ir</w:t>
            </w:r>
            <w:proofErr w:type="spellEnd"/>
            <w:r>
              <w:t xml:space="preserve"> </w:t>
            </w:r>
            <w:proofErr w:type="spellStart"/>
            <w:r>
              <w:t>ūkį</w:t>
            </w:r>
            <w:proofErr w:type="spellEnd"/>
            <w:r>
              <w:t xml:space="preserve"> </w:t>
            </w:r>
            <w:proofErr w:type="spellStart"/>
            <w:r>
              <w:t>savo</w:t>
            </w:r>
            <w:proofErr w:type="spellEnd"/>
            <w:r>
              <w:t xml:space="preserve"> </w:t>
            </w:r>
            <w:proofErr w:type="spellStart"/>
            <w:r>
              <w:t>vardu</w:t>
            </w:r>
            <w:proofErr w:type="spellEnd"/>
            <w:r>
              <w:t>);</w:t>
            </w:r>
          </w:p>
          <w:p w14:paraId="496C48D9" w14:textId="1216BE3E" w:rsidR="00F45B6D" w:rsidRPr="009F4E6F" w:rsidRDefault="00892608" w:rsidP="009F4E6F">
            <w:pPr>
              <w:numPr>
                <w:ilvl w:val="0"/>
                <w:numId w:val="2"/>
              </w:numPr>
              <w:tabs>
                <w:tab w:val="left" w:pos="650"/>
              </w:tabs>
              <w:ind w:left="0" w:firstLine="360"/>
              <w:jc w:val="both"/>
            </w:pPr>
            <w:proofErr w:type="spellStart"/>
            <w:r w:rsidRPr="00647C8C">
              <w:rPr>
                <w:szCs w:val="24"/>
              </w:rPr>
              <w:t>naujai</w:t>
            </w:r>
            <w:proofErr w:type="spellEnd"/>
            <w:r w:rsidRPr="00647C8C">
              <w:rPr>
                <w:szCs w:val="24"/>
              </w:rPr>
              <w:t xml:space="preserve"> </w:t>
            </w:r>
            <w:proofErr w:type="spellStart"/>
            <w:r w:rsidRPr="00647C8C">
              <w:rPr>
                <w:szCs w:val="24"/>
              </w:rPr>
              <w:t>įregistruoti</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veikiantys</w:t>
            </w:r>
            <w:proofErr w:type="spellEnd"/>
            <w:r w:rsidRPr="00647C8C">
              <w:rPr>
                <w:szCs w:val="24"/>
              </w:rPr>
              <w:t xml:space="preserve"> </w:t>
            </w:r>
            <w:proofErr w:type="spellStart"/>
            <w:r w:rsidRPr="00647C8C">
              <w:rPr>
                <w:szCs w:val="24"/>
              </w:rPr>
              <w:t>juridiniai</w:t>
            </w:r>
            <w:proofErr w:type="spellEnd"/>
            <w:r w:rsidRPr="00647C8C">
              <w:rPr>
                <w:szCs w:val="24"/>
              </w:rPr>
              <w:t xml:space="preserve"> </w:t>
            </w:r>
            <w:proofErr w:type="spellStart"/>
            <w:r w:rsidRPr="00647C8C">
              <w:rPr>
                <w:szCs w:val="24"/>
              </w:rPr>
              <w:t>asmenys</w:t>
            </w:r>
            <w:proofErr w:type="spellEnd"/>
            <w:r w:rsidRPr="00647C8C">
              <w:rPr>
                <w:szCs w:val="24"/>
              </w:rPr>
              <w:t xml:space="preserve">, </w:t>
            </w:r>
            <w:proofErr w:type="spellStart"/>
            <w:r w:rsidRPr="00647C8C">
              <w:rPr>
                <w:szCs w:val="24"/>
              </w:rPr>
              <w:t>užsiimantys</w:t>
            </w:r>
            <w:proofErr w:type="spellEnd"/>
            <w:r w:rsidRPr="00647C8C">
              <w:rPr>
                <w:szCs w:val="24"/>
              </w:rPr>
              <w:t xml:space="preserve"> </w:t>
            </w:r>
            <w:proofErr w:type="spellStart"/>
            <w:r w:rsidRPr="00647C8C">
              <w:rPr>
                <w:szCs w:val="24"/>
              </w:rPr>
              <w:t>žemės</w:t>
            </w:r>
            <w:proofErr w:type="spellEnd"/>
            <w:r w:rsidRPr="00647C8C">
              <w:rPr>
                <w:szCs w:val="24"/>
              </w:rPr>
              <w:t xml:space="preserve"> </w:t>
            </w:r>
            <w:proofErr w:type="spellStart"/>
            <w:r w:rsidRPr="00647C8C">
              <w:rPr>
                <w:szCs w:val="24"/>
              </w:rPr>
              <w:t>ūkio</w:t>
            </w:r>
            <w:proofErr w:type="spellEnd"/>
            <w:r w:rsidRPr="00647C8C">
              <w:rPr>
                <w:szCs w:val="24"/>
              </w:rPr>
              <w:t xml:space="preserve"> </w:t>
            </w:r>
            <w:proofErr w:type="spellStart"/>
            <w:r w:rsidRPr="00647C8C">
              <w:rPr>
                <w:szCs w:val="24"/>
              </w:rPr>
              <w:t>produktų</w:t>
            </w:r>
            <w:proofErr w:type="spellEnd"/>
            <w:r w:rsidRPr="00647C8C">
              <w:rPr>
                <w:szCs w:val="24"/>
              </w:rPr>
              <w:t xml:space="preserve"> </w:t>
            </w:r>
            <w:proofErr w:type="spellStart"/>
            <w:r w:rsidRPr="00647C8C">
              <w:rPr>
                <w:szCs w:val="24"/>
              </w:rPr>
              <w:t>perdirbimu</w:t>
            </w:r>
            <w:proofErr w:type="spellEnd"/>
            <w:r w:rsidRPr="00647C8C">
              <w:rPr>
                <w:szCs w:val="24"/>
              </w:rPr>
              <w:t xml:space="preserve"> </w:t>
            </w:r>
            <w:proofErr w:type="spellStart"/>
            <w:r w:rsidRPr="00647C8C">
              <w:rPr>
                <w:szCs w:val="24"/>
              </w:rPr>
              <w:t>ir</w:t>
            </w:r>
            <w:proofErr w:type="spellEnd"/>
            <w:r w:rsidRPr="00647C8C">
              <w:rPr>
                <w:szCs w:val="24"/>
              </w:rPr>
              <w:t xml:space="preserve"> (</w:t>
            </w:r>
            <w:proofErr w:type="spellStart"/>
            <w:r w:rsidRPr="00647C8C">
              <w:rPr>
                <w:szCs w:val="24"/>
              </w:rPr>
              <w:t>arba</w:t>
            </w:r>
            <w:proofErr w:type="spellEnd"/>
            <w:r w:rsidRPr="00647C8C">
              <w:rPr>
                <w:szCs w:val="24"/>
              </w:rPr>
              <w:t xml:space="preserve">) </w:t>
            </w:r>
            <w:proofErr w:type="spellStart"/>
            <w:r w:rsidRPr="00647C8C">
              <w:rPr>
                <w:szCs w:val="24"/>
              </w:rPr>
              <w:t>rinkodara</w:t>
            </w:r>
            <w:proofErr w:type="spellEnd"/>
            <w:r w:rsidRPr="00647C8C">
              <w:rPr>
                <w:szCs w:val="24"/>
              </w:rPr>
              <w:t xml:space="preserve"> (</w:t>
            </w:r>
            <w:proofErr w:type="spellStart"/>
            <w:r w:rsidRPr="00647C8C">
              <w:rPr>
                <w:szCs w:val="24"/>
              </w:rPr>
              <w:t>individualios</w:t>
            </w:r>
            <w:proofErr w:type="spellEnd"/>
            <w:r w:rsidRPr="00647C8C">
              <w:rPr>
                <w:szCs w:val="24"/>
              </w:rPr>
              <w:t xml:space="preserve"> </w:t>
            </w:r>
            <w:proofErr w:type="spellStart"/>
            <w:r w:rsidRPr="00647C8C">
              <w:rPr>
                <w:szCs w:val="24"/>
              </w:rPr>
              <w:t>įmonės</w:t>
            </w:r>
            <w:proofErr w:type="spellEnd"/>
            <w:r w:rsidRPr="00647C8C">
              <w:rPr>
                <w:szCs w:val="24"/>
              </w:rPr>
              <w:t xml:space="preserve">, </w:t>
            </w:r>
            <w:proofErr w:type="spellStart"/>
            <w:r w:rsidRPr="00647C8C">
              <w:rPr>
                <w:szCs w:val="24"/>
              </w:rPr>
              <w:t>uždarosiso</w:t>
            </w:r>
            <w:proofErr w:type="spellEnd"/>
            <w:r w:rsidRPr="00647C8C">
              <w:rPr>
                <w:szCs w:val="24"/>
              </w:rPr>
              <w:t xml:space="preserve"> </w:t>
            </w:r>
            <w:proofErr w:type="spellStart"/>
            <w:r w:rsidRPr="00647C8C">
              <w:rPr>
                <w:szCs w:val="24"/>
              </w:rPr>
              <w:t>akcinės</w:t>
            </w:r>
            <w:proofErr w:type="spellEnd"/>
            <w:r w:rsidRPr="00647C8C">
              <w:rPr>
                <w:szCs w:val="24"/>
              </w:rPr>
              <w:t xml:space="preserve"> </w:t>
            </w:r>
            <w:proofErr w:type="spellStart"/>
            <w:r w:rsidRPr="00647C8C">
              <w:rPr>
                <w:szCs w:val="24"/>
              </w:rPr>
              <w:t>bendrovės</w:t>
            </w:r>
            <w:proofErr w:type="spellEnd"/>
            <w:r>
              <w:t xml:space="preserve"> </w:t>
            </w:r>
            <w:proofErr w:type="spellStart"/>
            <w:r>
              <w:t>turinčios</w:t>
            </w:r>
            <w:proofErr w:type="spellEnd"/>
            <w:r>
              <w:t xml:space="preserve"> labia </w:t>
            </w:r>
            <w:proofErr w:type="spellStart"/>
            <w:r>
              <w:t>mažos</w:t>
            </w:r>
            <w:proofErr w:type="spellEnd"/>
            <w:r w:rsidR="00997C1F">
              <w:t xml:space="preserve"> </w:t>
            </w:r>
            <w:proofErr w:type="spellStart"/>
            <w:r w:rsidR="00997C1F">
              <w:t>ir</w:t>
            </w:r>
            <w:proofErr w:type="spellEnd"/>
            <w:r w:rsidR="00997C1F">
              <w:t xml:space="preserve"> </w:t>
            </w:r>
            <w:proofErr w:type="spellStart"/>
            <w:r w:rsidR="00997C1F">
              <w:t>mažos</w:t>
            </w:r>
            <w:proofErr w:type="spellEnd"/>
            <w:r w:rsidR="00997C1F">
              <w:t xml:space="preserve"> </w:t>
            </w:r>
            <w:proofErr w:type="spellStart"/>
            <w:r w:rsidR="00997C1F">
              <w:t>įmonės</w:t>
            </w:r>
            <w:proofErr w:type="spellEnd"/>
            <w:r w:rsidR="00997C1F">
              <w:t xml:space="preserve"> status, </w:t>
            </w:r>
            <w:proofErr w:type="spellStart"/>
            <w:r w:rsidR="00997C1F">
              <w:t>kurių</w:t>
            </w:r>
            <w:proofErr w:type="spellEnd"/>
            <w:r w:rsidR="00997C1F">
              <w:t xml:space="preserve"> </w:t>
            </w:r>
            <w:proofErr w:type="spellStart"/>
            <w:r w:rsidR="00997C1F">
              <w:t>darbuotojų</w:t>
            </w:r>
            <w:proofErr w:type="spellEnd"/>
            <w:r w:rsidR="00997C1F">
              <w:t xml:space="preserve"> </w:t>
            </w:r>
            <w:proofErr w:type="spellStart"/>
            <w:r w:rsidR="00997C1F">
              <w:t>skaičius</w:t>
            </w:r>
            <w:proofErr w:type="spellEnd"/>
            <w:r w:rsidR="00997C1F">
              <w:t xml:space="preserve"> </w:t>
            </w:r>
            <w:proofErr w:type="spellStart"/>
            <w:r w:rsidR="00997C1F">
              <w:t>paraiškos</w:t>
            </w:r>
            <w:proofErr w:type="spellEnd"/>
            <w:r w:rsidR="00997C1F">
              <w:t xml:space="preserve"> </w:t>
            </w:r>
            <w:proofErr w:type="spellStart"/>
            <w:r w:rsidR="00997C1F">
              <w:t>teikimo</w:t>
            </w:r>
            <w:proofErr w:type="spellEnd"/>
            <w:r w:rsidR="00997C1F">
              <w:t xml:space="preserve"> </w:t>
            </w:r>
            <w:proofErr w:type="spellStart"/>
            <w:r w:rsidR="00997C1F">
              <w:t>metu</w:t>
            </w:r>
            <w:proofErr w:type="spellEnd"/>
            <w:r w:rsidR="00997C1F">
              <w:t xml:space="preserve"> </w:t>
            </w:r>
            <w:proofErr w:type="spellStart"/>
            <w:r w:rsidR="00997C1F">
              <w:t>negali</w:t>
            </w:r>
            <w:proofErr w:type="spellEnd"/>
            <w:r w:rsidR="00997C1F">
              <w:t xml:space="preserve"> </w:t>
            </w:r>
            <w:proofErr w:type="spellStart"/>
            <w:r w:rsidR="00997C1F">
              <w:t>viršyti</w:t>
            </w:r>
            <w:proofErr w:type="spellEnd"/>
            <w:r w:rsidR="00997C1F">
              <w:t xml:space="preserve"> 10 </w:t>
            </w:r>
            <w:proofErr w:type="spellStart"/>
            <w:r w:rsidR="00997C1F">
              <w:t>darbuotojų</w:t>
            </w:r>
            <w:proofErr w:type="spellEnd"/>
            <w:r w:rsidR="00997C1F">
              <w:t>;</w:t>
            </w:r>
          </w:p>
        </w:tc>
      </w:tr>
      <w:tr w:rsidR="00242297" w:rsidRPr="003A1054" w14:paraId="2CE1DB12" w14:textId="77777777" w:rsidTr="00421CC6">
        <w:tc>
          <w:tcPr>
            <w:tcW w:w="3397" w:type="dxa"/>
            <w:vMerge/>
          </w:tcPr>
          <w:p w14:paraId="06CABA43" w14:textId="77777777" w:rsidR="00F45B6D" w:rsidRPr="003A1054" w:rsidRDefault="00F45B6D" w:rsidP="0065482F">
            <w:pPr>
              <w:jc w:val="both"/>
              <w:rPr>
                <w:szCs w:val="24"/>
                <w:lang w:val="lt-LT"/>
              </w:rPr>
            </w:pPr>
          </w:p>
        </w:tc>
        <w:tc>
          <w:tcPr>
            <w:tcW w:w="6521" w:type="dxa"/>
          </w:tcPr>
          <w:p w14:paraId="55619162" w14:textId="77777777" w:rsidR="006A7463" w:rsidRPr="003A1054" w:rsidRDefault="008A445D" w:rsidP="006A7463">
            <w:pPr>
              <w:jc w:val="both"/>
              <w:rPr>
                <w:szCs w:val="24"/>
                <w:lang w:val="lt-LT"/>
              </w:rPr>
            </w:pPr>
            <w:r w:rsidRPr="003A1054">
              <w:rPr>
                <w:szCs w:val="24"/>
                <w:lang w:val="lt-LT"/>
              </w:rPr>
              <w:t xml:space="preserve">Kvietimui skiriama VPS paramos lėšų suma </w:t>
            </w:r>
            <w:r w:rsidR="006A7463" w:rsidRPr="003A1054">
              <w:rPr>
                <w:szCs w:val="24"/>
                <w:lang w:val="lt-LT"/>
              </w:rPr>
              <w:t xml:space="preserve">143 399 </w:t>
            </w:r>
            <w:r w:rsidRPr="003A1054">
              <w:rPr>
                <w:szCs w:val="24"/>
                <w:lang w:val="lt-LT"/>
              </w:rPr>
              <w:t>Eur</w:t>
            </w:r>
            <w:r w:rsidR="006A7463" w:rsidRPr="003A1054">
              <w:rPr>
                <w:szCs w:val="24"/>
                <w:lang w:val="lt-LT"/>
              </w:rPr>
              <w:t>.</w:t>
            </w:r>
            <w:r w:rsidR="0094200E" w:rsidRPr="003A1054">
              <w:rPr>
                <w:szCs w:val="24"/>
                <w:lang w:val="lt-LT"/>
              </w:rPr>
              <w:t xml:space="preserve"> </w:t>
            </w:r>
            <w:r w:rsidR="006A7463" w:rsidRPr="003A1054">
              <w:rPr>
                <w:szCs w:val="24"/>
                <w:lang w:val="lt-LT"/>
              </w:rPr>
              <w:t>D</w:t>
            </w:r>
            <w:r w:rsidRPr="003A1054">
              <w:rPr>
                <w:szCs w:val="24"/>
                <w:lang w:val="lt-LT"/>
              </w:rPr>
              <w:t>idžiausia galima parama viena</w:t>
            </w:r>
            <w:r w:rsidR="006A7463" w:rsidRPr="003A1054">
              <w:rPr>
                <w:szCs w:val="24"/>
                <w:lang w:val="lt-LT"/>
              </w:rPr>
              <w:t xml:space="preserve">m vietos projektui įgyvendinti </w:t>
            </w:r>
          </w:p>
          <w:p w14:paraId="19960F9E" w14:textId="4D7243D3" w:rsidR="00F45B6D" w:rsidRPr="003A1054" w:rsidRDefault="006A7463" w:rsidP="006A7463">
            <w:pPr>
              <w:jc w:val="both"/>
              <w:rPr>
                <w:szCs w:val="24"/>
                <w:lang w:val="lt-LT"/>
              </w:rPr>
            </w:pPr>
            <w:r w:rsidRPr="003A1054">
              <w:rPr>
                <w:szCs w:val="24"/>
                <w:lang w:val="lt-LT"/>
              </w:rPr>
              <w:t>47 799,67</w:t>
            </w:r>
            <w:r w:rsidR="008A445D" w:rsidRPr="003A1054">
              <w:rPr>
                <w:szCs w:val="24"/>
                <w:lang w:val="lt-LT"/>
              </w:rPr>
              <w:t xml:space="preserve"> Eur</w:t>
            </w:r>
            <w:r w:rsidRPr="003A1054">
              <w:rPr>
                <w:szCs w:val="24"/>
                <w:lang w:val="lt-LT"/>
              </w:rPr>
              <w:t>.</w:t>
            </w:r>
          </w:p>
        </w:tc>
      </w:tr>
      <w:tr w:rsidR="00242297" w:rsidRPr="003A1054" w14:paraId="025B7285" w14:textId="77777777" w:rsidTr="00421CC6">
        <w:tc>
          <w:tcPr>
            <w:tcW w:w="3397" w:type="dxa"/>
            <w:vMerge/>
          </w:tcPr>
          <w:p w14:paraId="6F9DFDA1" w14:textId="77777777" w:rsidR="00F45B6D" w:rsidRPr="003A1054" w:rsidRDefault="00F45B6D" w:rsidP="0065482F">
            <w:pPr>
              <w:jc w:val="both"/>
              <w:rPr>
                <w:szCs w:val="24"/>
                <w:lang w:val="lt-LT"/>
              </w:rPr>
            </w:pPr>
          </w:p>
        </w:tc>
        <w:tc>
          <w:tcPr>
            <w:tcW w:w="6521" w:type="dxa"/>
          </w:tcPr>
          <w:p w14:paraId="1B17FD41" w14:textId="3299E207" w:rsidR="005A38F3" w:rsidRPr="003A1054" w:rsidRDefault="008A445D" w:rsidP="008A445D">
            <w:pPr>
              <w:jc w:val="both"/>
              <w:rPr>
                <w:szCs w:val="24"/>
                <w:lang w:val="lt-LT"/>
              </w:rPr>
            </w:pPr>
            <w:r w:rsidRPr="003A1054">
              <w:rPr>
                <w:szCs w:val="24"/>
                <w:lang w:val="lt-LT"/>
              </w:rPr>
              <w:t xml:space="preserve">Paramos vietos projektui įgyvendinti lyginamoji dalis </w:t>
            </w:r>
            <w:r w:rsidR="006A7463" w:rsidRPr="003A1054">
              <w:rPr>
                <w:szCs w:val="24"/>
                <w:lang w:val="lt-LT"/>
              </w:rPr>
              <w:t>70</w:t>
            </w:r>
            <w:r w:rsidRPr="003A1054">
              <w:rPr>
                <w:szCs w:val="24"/>
                <w:lang w:val="lt-LT"/>
              </w:rPr>
              <w:t xml:space="preserve"> proc.</w:t>
            </w:r>
          </w:p>
          <w:p w14:paraId="7AEEBBA5" w14:textId="77777777" w:rsidR="005A38F3" w:rsidRPr="003A1054" w:rsidRDefault="005A38F3" w:rsidP="005A38F3">
            <w:pPr>
              <w:rPr>
                <w:szCs w:val="24"/>
                <w:lang w:val="lt-LT"/>
              </w:rPr>
            </w:pPr>
          </w:p>
          <w:p w14:paraId="4953EF4F" w14:textId="34109346" w:rsidR="00F45B6D" w:rsidRPr="003A1054" w:rsidRDefault="00F45B6D" w:rsidP="005A38F3">
            <w:pPr>
              <w:jc w:val="center"/>
              <w:rPr>
                <w:szCs w:val="24"/>
                <w:lang w:val="lt-LT"/>
              </w:rPr>
            </w:pPr>
          </w:p>
        </w:tc>
      </w:tr>
      <w:tr w:rsidR="005C4E1A" w:rsidRPr="003A1054" w14:paraId="38CC7B0E" w14:textId="77777777" w:rsidTr="006A7463">
        <w:trPr>
          <w:trHeight w:val="603"/>
        </w:trPr>
        <w:tc>
          <w:tcPr>
            <w:tcW w:w="3397" w:type="dxa"/>
            <w:vMerge/>
          </w:tcPr>
          <w:p w14:paraId="09450BDF" w14:textId="77777777" w:rsidR="005C4E1A" w:rsidRPr="003A1054" w:rsidRDefault="005C4E1A" w:rsidP="0065482F">
            <w:pPr>
              <w:jc w:val="both"/>
              <w:rPr>
                <w:szCs w:val="24"/>
                <w:lang w:val="lt-LT"/>
              </w:rPr>
            </w:pPr>
          </w:p>
        </w:tc>
        <w:tc>
          <w:tcPr>
            <w:tcW w:w="6521" w:type="dxa"/>
          </w:tcPr>
          <w:p w14:paraId="487B2F25" w14:textId="3185E097" w:rsidR="005C4E1A" w:rsidRPr="003A1054" w:rsidRDefault="005C4E1A" w:rsidP="006A7463">
            <w:pPr>
              <w:pStyle w:val="num1diagrama"/>
              <w:tabs>
                <w:tab w:val="left" w:pos="540"/>
                <w:tab w:val="left" w:pos="1260"/>
                <w:tab w:val="left" w:pos="1440"/>
                <w:tab w:val="left" w:pos="1620"/>
                <w:tab w:val="left" w:pos="1800"/>
              </w:tabs>
              <w:rPr>
                <w:sz w:val="24"/>
                <w:szCs w:val="24"/>
              </w:rPr>
            </w:pPr>
            <w:r w:rsidRPr="003A1054">
              <w:rPr>
                <w:sz w:val="24"/>
                <w:szCs w:val="24"/>
              </w:rPr>
              <w:t xml:space="preserve">Finansavimo šaltiniai: </w:t>
            </w:r>
            <w:r w:rsidR="006A7463" w:rsidRPr="003A1054">
              <w:rPr>
                <w:sz w:val="24"/>
                <w:szCs w:val="24"/>
              </w:rPr>
              <w:t>Europos žemės ūkio fondo kaimo plėtrai (toliau – EŽŪFKP) ir Lietuvos Respublikos valstybės biudžeto lėšos.</w:t>
            </w:r>
          </w:p>
        </w:tc>
      </w:tr>
    </w:tbl>
    <w:p w14:paraId="75EEA747" w14:textId="77777777" w:rsidR="00FF148D" w:rsidRPr="003A1054" w:rsidRDefault="00FF148D" w:rsidP="00FF148D">
      <w:pPr>
        <w:spacing w:after="0" w:line="240" w:lineRule="auto"/>
        <w:ind w:firstLine="567"/>
        <w:jc w:val="both"/>
        <w:rPr>
          <w:szCs w:val="24"/>
          <w:lang w:val="lt-LT"/>
        </w:rPr>
      </w:pPr>
    </w:p>
    <w:p w14:paraId="1C550769" w14:textId="79705435" w:rsidR="00EA63C9" w:rsidRPr="003A1054" w:rsidRDefault="00FF148D" w:rsidP="006A7463">
      <w:pPr>
        <w:spacing w:before="120" w:after="120" w:line="240" w:lineRule="auto"/>
        <w:jc w:val="both"/>
        <w:rPr>
          <w:szCs w:val="24"/>
          <w:lang w:val="lt-LT"/>
        </w:rPr>
      </w:pPr>
      <w:r w:rsidRPr="003A1054">
        <w:rPr>
          <w:szCs w:val="24"/>
          <w:lang w:val="lt-LT"/>
        </w:rPr>
        <w:lastRenderedPageBreak/>
        <w:t xml:space="preserve">Bendra </w:t>
      </w:r>
      <w:r w:rsidR="005C4E1A" w:rsidRPr="003A1054">
        <w:rPr>
          <w:szCs w:val="24"/>
          <w:lang w:val="lt-LT"/>
        </w:rPr>
        <w:t>kvietimo teikti</w:t>
      </w:r>
      <w:r w:rsidR="006A7463" w:rsidRPr="003A1054">
        <w:rPr>
          <w:szCs w:val="24"/>
          <w:lang w:val="lt-LT"/>
        </w:rPr>
        <w:t xml:space="preserve"> vietos projektus </w:t>
      </w:r>
      <w:r w:rsidR="009431B6" w:rsidRPr="003A1054">
        <w:rPr>
          <w:szCs w:val="24"/>
          <w:lang w:val="lt-LT"/>
        </w:rPr>
        <w:t>sum</w:t>
      </w:r>
      <w:r w:rsidR="009431B6">
        <w:rPr>
          <w:szCs w:val="24"/>
          <w:lang w:val="lt-LT"/>
        </w:rPr>
        <w:t>a</w:t>
      </w:r>
      <w:r w:rsidR="009431B6" w:rsidRPr="003A1054">
        <w:rPr>
          <w:szCs w:val="24"/>
          <w:lang w:val="lt-LT"/>
        </w:rPr>
        <w:t xml:space="preserve"> </w:t>
      </w:r>
      <w:r w:rsidR="006A7463" w:rsidRPr="003A1054">
        <w:rPr>
          <w:szCs w:val="24"/>
          <w:lang w:val="lt-LT"/>
        </w:rPr>
        <w:t>143 399</w:t>
      </w:r>
      <w:r w:rsidR="00997C1F">
        <w:rPr>
          <w:szCs w:val="24"/>
          <w:lang w:val="lt-LT"/>
        </w:rPr>
        <w:t>, 00</w:t>
      </w:r>
      <w:r w:rsidRPr="003A1054">
        <w:rPr>
          <w:szCs w:val="24"/>
          <w:lang w:val="lt-LT"/>
        </w:rPr>
        <w:t xml:space="preserve"> </w:t>
      </w:r>
      <w:r w:rsidR="005C4E1A" w:rsidRPr="003A1054">
        <w:rPr>
          <w:szCs w:val="24"/>
          <w:lang w:val="lt-LT"/>
        </w:rPr>
        <w:t>Eur</w:t>
      </w:r>
      <w:r w:rsidR="00EA63C9" w:rsidRPr="003A1054">
        <w:rPr>
          <w:szCs w:val="24"/>
          <w:lang w:val="lt-LT"/>
        </w:rPr>
        <w:t xml:space="preserve"> iš EŽŪFKP ir Lietuvos Respublikos valstybės biudžeto lėšų. </w:t>
      </w:r>
    </w:p>
    <w:p w14:paraId="180318AF" w14:textId="77777777" w:rsidR="006A7463" w:rsidRPr="003A1054" w:rsidRDefault="006A7463" w:rsidP="00A511A4">
      <w:pPr>
        <w:pStyle w:val="NoSpacing"/>
        <w:ind w:firstLine="720"/>
        <w:jc w:val="both"/>
        <w:rPr>
          <w:szCs w:val="24"/>
          <w:lang w:val="lt-LT"/>
        </w:rPr>
      </w:pPr>
      <w:r w:rsidRPr="003A1054">
        <w:rPr>
          <w:szCs w:val="24"/>
          <w:lang w:val="lt-LT"/>
        </w:rPr>
        <w:t xml:space="preserve">Vietos projektų finansavimo sąlygų aprašai skelbiami šiose interneto svetainėse: </w:t>
      </w:r>
      <w:hyperlink r:id="rId13" w:history="1">
        <w:r w:rsidRPr="003A1054">
          <w:rPr>
            <w:rStyle w:val="Hyperlink"/>
            <w:szCs w:val="24"/>
            <w:lang w:val="lt-LT"/>
          </w:rPr>
          <w:t>www.tauragesvvg.lt</w:t>
        </w:r>
      </w:hyperlink>
      <w:r w:rsidRPr="003A1054">
        <w:rPr>
          <w:szCs w:val="24"/>
          <w:lang w:val="lt-LT"/>
        </w:rPr>
        <w:t xml:space="preserve"> ir </w:t>
      </w:r>
      <w:hyperlink r:id="rId14" w:history="1">
        <w:r w:rsidRPr="003A1054">
          <w:rPr>
            <w:rStyle w:val="Hyperlink"/>
            <w:szCs w:val="24"/>
            <w:lang w:val="lt-LT"/>
          </w:rPr>
          <w:t>www.nma.lt</w:t>
        </w:r>
      </w:hyperlink>
      <w:r w:rsidRPr="003A1054">
        <w:rPr>
          <w:szCs w:val="24"/>
          <w:lang w:val="lt-LT"/>
        </w:rPr>
        <w:t xml:space="preserve">,  taip pat Tauragės rajono vietos veiklos grupės būstinėje adresu Kudirkos g. 9, Tauragė. </w:t>
      </w:r>
      <w:r w:rsidRPr="003A1054">
        <w:rPr>
          <w:rStyle w:val="Emphasis"/>
          <w:szCs w:val="24"/>
          <w:lang w:val="lt-LT"/>
        </w:rPr>
        <w:t> </w:t>
      </w:r>
    </w:p>
    <w:p w14:paraId="6FC89EEA" w14:textId="155BFF7C" w:rsidR="00E37D9C" w:rsidRPr="003A1054" w:rsidRDefault="00F57D4F" w:rsidP="00A511A4">
      <w:pPr>
        <w:pStyle w:val="NoSpacing"/>
        <w:jc w:val="both"/>
        <w:rPr>
          <w:b/>
          <w:szCs w:val="24"/>
          <w:lang w:val="lt-LT"/>
        </w:rPr>
      </w:pPr>
      <w:r w:rsidRPr="003A1054">
        <w:rPr>
          <w:b/>
          <w:szCs w:val="24"/>
          <w:lang w:val="lt-LT"/>
        </w:rPr>
        <w:t xml:space="preserve">Kvietimas teikti vietos projektus galioja nuo </w:t>
      </w:r>
      <w:r w:rsidR="006A7463" w:rsidRPr="003A1054">
        <w:rPr>
          <w:b/>
          <w:szCs w:val="24"/>
          <w:lang w:val="lt-LT"/>
        </w:rPr>
        <w:t xml:space="preserve">2018 m. </w:t>
      </w:r>
      <w:r w:rsidR="00997C1F">
        <w:rPr>
          <w:b/>
          <w:szCs w:val="24"/>
          <w:lang w:val="lt-LT"/>
        </w:rPr>
        <w:t>balandžio 9</w:t>
      </w:r>
      <w:r w:rsidR="006A7463" w:rsidRPr="003A1054">
        <w:rPr>
          <w:b/>
          <w:szCs w:val="24"/>
          <w:lang w:val="lt-LT"/>
        </w:rPr>
        <w:t xml:space="preserve"> d.</w:t>
      </w:r>
      <w:r w:rsidR="00692665">
        <w:rPr>
          <w:b/>
          <w:szCs w:val="24"/>
          <w:lang w:val="lt-LT"/>
        </w:rPr>
        <w:t xml:space="preserve"> 8.00 val. </w:t>
      </w:r>
      <w:r w:rsidRPr="003A1054">
        <w:rPr>
          <w:b/>
          <w:szCs w:val="24"/>
          <w:lang w:val="lt-LT"/>
        </w:rPr>
        <w:t xml:space="preserve"> iki </w:t>
      </w:r>
      <w:r w:rsidR="00A511A4" w:rsidRPr="003A1054">
        <w:rPr>
          <w:b/>
          <w:szCs w:val="24"/>
          <w:lang w:val="lt-LT"/>
        </w:rPr>
        <w:t xml:space="preserve">2018 m. </w:t>
      </w:r>
      <w:r w:rsidR="00997C1F">
        <w:rPr>
          <w:b/>
          <w:szCs w:val="24"/>
          <w:lang w:val="lt-LT"/>
        </w:rPr>
        <w:t>gegužės 28 d.</w:t>
      </w:r>
      <w:r w:rsidR="00692665">
        <w:rPr>
          <w:b/>
          <w:szCs w:val="24"/>
          <w:lang w:val="lt-LT"/>
        </w:rPr>
        <w:t xml:space="preserve"> 15.00 val.</w:t>
      </w:r>
      <w:bookmarkStart w:id="0" w:name="_GoBack"/>
      <w:bookmarkEnd w:id="0"/>
    </w:p>
    <w:p w14:paraId="4EA8635E" w14:textId="77777777" w:rsidR="00A511A4" w:rsidRPr="003A1054" w:rsidRDefault="00F57D4F" w:rsidP="00A511A4">
      <w:pPr>
        <w:pStyle w:val="NoSpacing"/>
        <w:rPr>
          <w:szCs w:val="24"/>
          <w:lang w:val="lt-LT"/>
        </w:rPr>
      </w:pPr>
      <w:r w:rsidRPr="003A1054">
        <w:rPr>
          <w:szCs w:val="24"/>
          <w:lang w:val="lt-LT"/>
        </w:rPr>
        <w:t xml:space="preserve">Vietos projektų paraiškos priimamos </w:t>
      </w:r>
      <w:r w:rsidR="00A511A4" w:rsidRPr="003A1054">
        <w:rPr>
          <w:szCs w:val="24"/>
          <w:lang w:val="lt-LT"/>
        </w:rPr>
        <w:t>Tauragės rajono vietos veiklos grupės būstinėje adresu Kudirkos g. 9, Tauragė.</w:t>
      </w:r>
    </w:p>
    <w:p w14:paraId="7E8578EE" w14:textId="7AC355F1" w:rsidR="00E37D9C" w:rsidRPr="003A1054" w:rsidRDefault="00A511A4" w:rsidP="00A511A4">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50D535BF" w14:textId="723CDA64" w:rsidR="00C604D3" w:rsidRPr="003A1054" w:rsidRDefault="00C604D3" w:rsidP="00C604D3">
      <w:pPr>
        <w:spacing w:before="120" w:after="120" w:line="240" w:lineRule="auto"/>
        <w:ind w:firstLine="567"/>
        <w:jc w:val="both"/>
        <w:rPr>
          <w:szCs w:val="24"/>
          <w:lang w:val="lt-LT"/>
        </w:rPr>
      </w:pPr>
      <w:r w:rsidRPr="003A1054">
        <w:rPr>
          <w:szCs w:val="24"/>
          <w:lang w:val="lt-LT"/>
        </w:rPr>
        <w:t xml:space="preserve">Per vieną </w:t>
      </w:r>
      <w:r w:rsidR="00D766D2" w:rsidRPr="003A1054">
        <w:rPr>
          <w:szCs w:val="24"/>
          <w:lang w:val="lt-LT"/>
        </w:rPr>
        <w:t xml:space="preserve">konkrečios VPS priemonės ir (arba) veiklos srities paramos paraiškų priėmimo </w:t>
      </w:r>
      <w:r w:rsidRPr="003A1054">
        <w:rPr>
          <w:szCs w:val="24"/>
          <w:lang w:val="lt-LT"/>
        </w:rPr>
        <w:t>laikotarpį vietos projekto paraiškos teikėjas gali pateikti vieną vietos projekto paraišką</w:t>
      </w:r>
      <w:r w:rsidR="00180F95" w:rsidRPr="003A1054">
        <w:rPr>
          <w:szCs w:val="24"/>
          <w:lang w:val="lt-LT"/>
        </w:rPr>
        <w:t xml:space="preserve"> (išskyrus išimtis</w:t>
      </w:r>
      <w:r w:rsidR="00632CB2" w:rsidRPr="003A1054">
        <w:rPr>
          <w:szCs w:val="24"/>
          <w:lang w:val="lt-LT"/>
        </w:rPr>
        <w:t>,</w:t>
      </w:r>
      <w:r w:rsidR="00180F95" w:rsidRPr="003A1054">
        <w:rPr>
          <w:szCs w:val="24"/>
          <w:lang w:val="lt-LT"/>
        </w:rPr>
        <w:t xml:space="preserve"> nurodytas Vietos projektų administravimo taisyklių 72 punkte)</w:t>
      </w:r>
      <w:r w:rsidRPr="003A1054">
        <w:rPr>
          <w:szCs w:val="24"/>
          <w:lang w:val="lt-LT"/>
        </w:rPr>
        <w:t>.</w:t>
      </w:r>
    </w:p>
    <w:p w14:paraId="2F36B2C4" w14:textId="4B208175" w:rsidR="00A511A4" w:rsidRPr="003A1054" w:rsidRDefault="005F1842" w:rsidP="00A511A4">
      <w:pPr>
        <w:rPr>
          <w:szCs w:val="24"/>
          <w:lang w:val="lt-LT"/>
        </w:rPr>
      </w:pPr>
      <w:r w:rsidRPr="003A1054">
        <w:rPr>
          <w:szCs w:val="24"/>
          <w:lang w:val="lt-LT"/>
        </w:rPr>
        <w:t>Informacija apie kvietimą teikti vietos projektus ir vietos projektų įgyvendinim</w:t>
      </w:r>
      <w:r w:rsidR="00844395" w:rsidRPr="003A1054">
        <w:rPr>
          <w:szCs w:val="24"/>
          <w:lang w:val="lt-LT"/>
        </w:rPr>
        <w:t>ą</w:t>
      </w:r>
      <w:r w:rsidRPr="003A1054">
        <w:rPr>
          <w:szCs w:val="24"/>
          <w:lang w:val="lt-LT"/>
        </w:rPr>
        <w:t xml:space="preserve"> teikiama </w:t>
      </w:r>
      <w:r w:rsidR="00A511A4" w:rsidRPr="003A1054">
        <w:rPr>
          <w:szCs w:val="24"/>
          <w:lang w:val="lt-LT"/>
        </w:rPr>
        <w:t xml:space="preserve">Tauragės rajono vietos veiklos grupės būstinėje adresu:  Kudirkos g. 9, Tauragė, telefonu 8 603 32 607, 8 682 25 586, el. paštu </w:t>
      </w:r>
      <w:hyperlink r:id="rId15" w:history="1">
        <w:r w:rsidR="00A511A4" w:rsidRPr="003A1054">
          <w:rPr>
            <w:rStyle w:val="Hyperlink"/>
            <w:szCs w:val="24"/>
            <w:lang w:val="lt-LT"/>
          </w:rPr>
          <w:t>tauragesvvg@gmail.com</w:t>
        </w:r>
      </w:hyperlink>
      <w:r w:rsidR="00A511A4" w:rsidRPr="003A1054">
        <w:rPr>
          <w:szCs w:val="24"/>
          <w:lang w:val="lt-LT"/>
        </w:rPr>
        <w:t xml:space="preserve"> ir </w:t>
      </w:r>
      <w:hyperlink r:id="rId16" w:history="1">
        <w:r w:rsidR="00A511A4" w:rsidRPr="003A1054">
          <w:rPr>
            <w:rStyle w:val="Hyperlink"/>
            <w:szCs w:val="24"/>
            <w:lang w:val="lt-LT"/>
          </w:rPr>
          <w:t>nijoletireviciene@gmail.com</w:t>
        </w:r>
      </w:hyperlink>
      <w:r w:rsidR="00A511A4" w:rsidRPr="003A1054">
        <w:rPr>
          <w:szCs w:val="24"/>
          <w:lang w:val="lt-LT"/>
        </w:rPr>
        <w:t xml:space="preserve">  darbo dienomis nuo 8.00 val. iki 17.00 val. (penktadieniais iki 15.45 val.)</w:t>
      </w:r>
    </w:p>
    <w:p w14:paraId="617D4176" w14:textId="54ED5084" w:rsidR="00B20B6D" w:rsidRPr="003A1054" w:rsidRDefault="00B20B6D" w:rsidP="00E37D9C">
      <w:pPr>
        <w:spacing w:before="120" w:after="120" w:line="240" w:lineRule="auto"/>
        <w:ind w:firstLine="567"/>
        <w:jc w:val="both"/>
        <w:rPr>
          <w:szCs w:val="24"/>
          <w:lang w:val="lt-LT"/>
        </w:rPr>
      </w:pPr>
    </w:p>
    <w:sectPr w:rsidR="00B20B6D" w:rsidRPr="003A1054" w:rsidSect="00BB2C73">
      <w:headerReference w:type="default" r:id="rId17"/>
      <w:footerReference w:type="first" r:id="rId18"/>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23D701" w15:done="0"/>
  <w15:commentEx w15:paraId="48A035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8A7F1" w14:textId="77777777" w:rsidR="00AD0A27" w:rsidRDefault="00AD0A27" w:rsidP="00BB2C73">
      <w:pPr>
        <w:spacing w:after="0" w:line="240" w:lineRule="auto"/>
      </w:pPr>
      <w:r>
        <w:separator/>
      </w:r>
    </w:p>
  </w:endnote>
  <w:endnote w:type="continuationSeparator" w:id="0">
    <w:p w14:paraId="28BF0EDC" w14:textId="77777777" w:rsidR="00AD0A27" w:rsidRDefault="00AD0A2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9C474" w14:textId="77777777" w:rsidR="00AD0A27" w:rsidRDefault="00AD0A27" w:rsidP="00BB2C73">
      <w:pPr>
        <w:spacing w:after="0" w:line="240" w:lineRule="auto"/>
      </w:pPr>
      <w:r>
        <w:separator/>
      </w:r>
    </w:p>
  </w:footnote>
  <w:footnote w:type="continuationSeparator" w:id="0">
    <w:p w14:paraId="70FAE939" w14:textId="77777777" w:rsidR="00AD0A27" w:rsidRDefault="00AD0A2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5CAADAD3" w:rsidR="00BB2C73" w:rsidRDefault="00BB2C73">
        <w:pPr>
          <w:pStyle w:val="Header"/>
          <w:jc w:val="center"/>
        </w:pPr>
        <w:r>
          <w:fldChar w:fldCharType="begin"/>
        </w:r>
        <w:r>
          <w:instrText>PAGE   \* MERGEFORMAT</w:instrText>
        </w:r>
        <w:r>
          <w:fldChar w:fldCharType="separate"/>
        </w:r>
        <w:r w:rsidR="00692665" w:rsidRPr="00692665">
          <w:rPr>
            <w:noProof/>
            <w:lang w:val="lt-LT"/>
          </w:rPr>
          <w:t>2</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531E652E"/>
    <w:multiLevelType w:val="hybridMultilevel"/>
    <w:tmpl w:val="683AD5D8"/>
    <w:lvl w:ilvl="0" w:tplc="0427000D">
      <w:start w:val="1"/>
      <w:numFmt w:val="bullet"/>
      <w:lvlText w:val=""/>
      <w:lvlJc w:val="left"/>
      <w:pPr>
        <w:ind w:left="787" w:hanging="360"/>
      </w:pPr>
      <w:rPr>
        <w:rFonts w:ascii="Wingdings" w:hAnsi="Wingdings" w:hint="default"/>
      </w:rPr>
    </w:lvl>
    <w:lvl w:ilvl="1" w:tplc="04270003">
      <w:start w:val="1"/>
      <w:numFmt w:val="bullet"/>
      <w:lvlText w:val="o"/>
      <w:lvlJc w:val="left"/>
      <w:pPr>
        <w:ind w:left="1507" w:hanging="360"/>
      </w:pPr>
      <w:rPr>
        <w:rFonts w:ascii="Courier New" w:hAnsi="Courier New" w:cs="Courier New" w:hint="default"/>
      </w:rPr>
    </w:lvl>
    <w:lvl w:ilvl="2" w:tplc="04270005">
      <w:start w:val="1"/>
      <w:numFmt w:val="bullet"/>
      <w:lvlText w:val=""/>
      <w:lvlJc w:val="left"/>
      <w:pPr>
        <w:ind w:left="2227" w:hanging="360"/>
      </w:pPr>
      <w:rPr>
        <w:rFonts w:ascii="Wingdings" w:hAnsi="Wingdings" w:hint="default"/>
      </w:rPr>
    </w:lvl>
    <w:lvl w:ilvl="3" w:tplc="04270001">
      <w:start w:val="1"/>
      <w:numFmt w:val="bullet"/>
      <w:lvlText w:val=""/>
      <w:lvlJc w:val="left"/>
      <w:pPr>
        <w:ind w:left="2947" w:hanging="360"/>
      </w:pPr>
      <w:rPr>
        <w:rFonts w:ascii="Symbol" w:hAnsi="Symbol" w:hint="default"/>
      </w:rPr>
    </w:lvl>
    <w:lvl w:ilvl="4" w:tplc="04270003">
      <w:start w:val="1"/>
      <w:numFmt w:val="bullet"/>
      <w:lvlText w:val="o"/>
      <w:lvlJc w:val="left"/>
      <w:pPr>
        <w:ind w:left="3667" w:hanging="360"/>
      </w:pPr>
      <w:rPr>
        <w:rFonts w:ascii="Courier New" w:hAnsi="Courier New" w:cs="Courier New" w:hint="default"/>
      </w:rPr>
    </w:lvl>
    <w:lvl w:ilvl="5" w:tplc="04270005">
      <w:start w:val="1"/>
      <w:numFmt w:val="bullet"/>
      <w:lvlText w:val=""/>
      <w:lvlJc w:val="left"/>
      <w:pPr>
        <w:ind w:left="4387" w:hanging="360"/>
      </w:pPr>
      <w:rPr>
        <w:rFonts w:ascii="Wingdings" w:hAnsi="Wingdings" w:hint="default"/>
      </w:rPr>
    </w:lvl>
    <w:lvl w:ilvl="6" w:tplc="04270001">
      <w:start w:val="1"/>
      <w:numFmt w:val="bullet"/>
      <w:lvlText w:val=""/>
      <w:lvlJc w:val="left"/>
      <w:pPr>
        <w:ind w:left="5107" w:hanging="360"/>
      </w:pPr>
      <w:rPr>
        <w:rFonts w:ascii="Symbol" w:hAnsi="Symbol" w:hint="default"/>
      </w:rPr>
    </w:lvl>
    <w:lvl w:ilvl="7" w:tplc="04270003">
      <w:start w:val="1"/>
      <w:numFmt w:val="bullet"/>
      <w:lvlText w:val="o"/>
      <w:lvlJc w:val="left"/>
      <w:pPr>
        <w:ind w:left="5827" w:hanging="360"/>
      </w:pPr>
      <w:rPr>
        <w:rFonts w:ascii="Courier New" w:hAnsi="Courier New" w:cs="Courier New" w:hint="default"/>
      </w:rPr>
    </w:lvl>
    <w:lvl w:ilvl="8" w:tplc="04270005">
      <w:start w:val="1"/>
      <w:numFmt w:val="bullet"/>
      <w:lvlText w:val=""/>
      <w:lvlJc w:val="left"/>
      <w:pPr>
        <w:ind w:left="654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36E67"/>
    <w:rsid w:val="0005283B"/>
    <w:rsid w:val="000541E4"/>
    <w:rsid w:val="00077C5E"/>
    <w:rsid w:val="000A79B2"/>
    <w:rsid w:val="000E2E4E"/>
    <w:rsid w:val="00106EF3"/>
    <w:rsid w:val="00180F95"/>
    <w:rsid w:val="001B7A93"/>
    <w:rsid w:val="001E5CA8"/>
    <w:rsid w:val="001F159E"/>
    <w:rsid w:val="001F3C12"/>
    <w:rsid w:val="002034B1"/>
    <w:rsid w:val="002374B2"/>
    <w:rsid w:val="00242297"/>
    <w:rsid w:val="00256D17"/>
    <w:rsid w:val="002668D6"/>
    <w:rsid w:val="00287AAA"/>
    <w:rsid w:val="002B651E"/>
    <w:rsid w:val="002D30B0"/>
    <w:rsid w:val="002E33FA"/>
    <w:rsid w:val="002F0467"/>
    <w:rsid w:val="00304BCA"/>
    <w:rsid w:val="00324241"/>
    <w:rsid w:val="003336ED"/>
    <w:rsid w:val="00336817"/>
    <w:rsid w:val="003652C2"/>
    <w:rsid w:val="003A1054"/>
    <w:rsid w:val="003B1040"/>
    <w:rsid w:val="00421CC6"/>
    <w:rsid w:val="00476BF2"/>
    <w:rsid w:val="005330E2"/>
    <w:rsid w:val="0057781A"/>
    <w:rsid w:val="005911AF"/>
    <w:rsid w:val="005A38F3"/>
    <w:rsid w:val="005C4E1A"/>
    <w:rsid w:val="005D4F2C"/>
    <w:rsid w:val="005F1842"/>
    <w:rsid w:val="005F2AC1"/>
    <w:rsid w:val="005F5464"/>
    <w:rsid w:val="0061663A"/>
    <w:rsid w:val="00625762"/>
    <w:rsid w:val="00632CB2"/>
    <w:rsid w:val="00634174"/>
    <w:rsid w:val="006436C4"/>
    <w:rsid w:val="00647C8C"/>
    <w:rsid w:val="0065482F"/>
    <w:rsid w:val="00690906"/>
    <w:rsid w:val="00692665"/>
    <w:rsid w:val="006A7463"/>
    <w:rsid w:val="006D4F4D"/>
    <w:rsid w:val="006F6FEC"/>
    <w:rsid w:val="00703817"/>
    <w:rsid w:val="00707218"/>
    <w:rsid w:val="00717906"/>
    <w:rsid w:val="007616E9"/>
    <w:rsid w:val="00794BF5"/>
    <w:rsid w:val="007A6288"/>
    <w:rsid w:val="007A6BCA"/>
    <w:rsid w:val="007B792B"/>
    <w:rsid w:val="007C1821"/>
    <w:rsid w:val="00803715"/>
    <w:rsid w:val="00815962"/>
    <w:rsid w:val="00837CAA"/>
    <w:rsid w:val="00844395"/>
    <w:rsid w:val="00853AC3"/>
    <w:rsid w:val="008851CD"/>
    <w:rsid w:val="00892608"/>
    <w:rsid w:val="008A3921"/>
    <w:rsid w:val="008A445D"/>
    <w:rsid w:val="008E4806"/>
    <w:rsid w:val="00925BB6"/>
    <w:rsid w:val="00934F8C"/>
    <w:rsid w:val="00941525"/>
    <w:rsid w:val="0094200E"/>
    <w:rsid w:val="009431B6"/>
    <w:rsid w:val="0094741F"/>
    <w:rsid w:val="00955951"/>
    <w:rsid w:val="00997C1F"/>
    <w:rsid w:val="009B722A"/>
    <w:rsid w:val="009D3D19"/>
    <w:rsid w:val="009F4E6F"/>
    <w:rsid w:val="00A352DA"/>
    <w:rsid w:val="00A511A4"/>
    <w:rsid w:val="00A87F30"/>
    <w:rsid w:val="00AB06E5"/>
    <w:rsid w:val="00AD0A27"/>
    <w:rsid w:val="00AD4CA8"/>
    <w:rsid w:val="00AD5BFE"/>
    <w:rsid w:val="00B059BB"/>
    <w:rsid w:val="00B06BDF"/>
    <w:rsid w:val="00B20B6D"/>
    <w:rsid w:val="00B36A4A"/>
    <w:rsid w:val="00B937C1"/>
    <w:rsid w:val="00BB2C73"/>
    <w:rsid w:val="00BD153C"/>
    <w:rsid w:val="00BD2AA5"/>
    <w:rsid w:val="00BD3D3D"/>
    <w:rsid w:val="00BF3B05"/>
    <w:rsid w:val="00C05A4A"/>
    <w:rsid w:val="00C145D1"/>
    <w:rsid w:val="00C17F10"/>
    <w:rsid w:val="00C52988"/>
    <w:rsid w:val="00C539F5"/>
    <w:rsid w:val="00C604D3"/>
    <w:rsid w:val="00C673CA"/>
    <w:rsid w:val="00CA5E80"/>
    <w:rsid w:val="00CF23C6"/>
    <w:rsid w:val="00CF6F98"/>
    <w:rsid w:val="00D06918"/>
    <w:rsid w:val="00D348E1"/>
    <w:rsid w:val="00D736F1"/>
    <w:rsid w:val="00D74209"/>
    <w:rsid w:val="00D766D2"/>
    <w:rsid w:val="00DA7639"/>
    <w:rsid w:val="00DC1561"/>
    <w:rsid w:val="00DD439D"/>
    <w:rsid w:val="00DE3F74"/>
    <w:rsid w:val="00DE614E"/>
    <w:rsid w:val="00DF3C47"/>
    <w:rsid w:val="00E37D9C"/>
    <w:rsid w:val="00E44A8B"/>
    <w:rsid w:val="00EA3A61"/>
    <w:rsid w:val="00EA63C9"/>
    <w:rsid w:val="00F171DC"/>
    <w:rsid w:val="00F45B6D"/>
    <w:rsid w:val="00F55DEC"/>
    <w:rsid w:val="00F57D4F"/>
    <w:rsid w:val="00F603C5"/>
    <w:rsid w:val="00FA2A7B"/>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num1diagrama">
    <w:name w:val="num1diagrama"/>
    <w:basedOn w:val="Normal"/>
    <w:rsid w:val="006A7463"/>
    <w:pPr>
      <w:spacing w:after="0" w:line="240" w:lineRule="auto"/>
      <w:jc w:val="both"/>
    </w:pPr>
    <w:rPr>
      <w:rFonts w:eastAsia="Times New Roman" w:cs="Times New Roman"/>
      <w:sz w:val="20"/>
      <w:szCs w:val="20"/>
      <w:lang w:val="lt-LT" w:eastAsia="lt-LT"/>
    </w:rPr>
  </w:style>
  <w:style w:type="character" w:styleId="Hyperlink">
    <w:name w:val="Hyperlink"/>
    <w:basedOn w:val="DefaultParagraphFont"/>
    <w:uiPriority w:val="99"/>
    <w:unhideWhenUsed/>
    <w:rsid w:val="006A7463"/>
    <w:rPr>
      <w:color w:val="0000FF"/>
      <w:u w:val="single"/>
    </w:rPr>
  </w:style>
  <w:style w:type="character" w:styleId="Emphasis">
    <w:name w:val="Emphasis"/>
    <w:basedOn w:val="DefaultParagraphFont"/>
    <w:uiPriority w:val="20"/>
    <w:qFormat/>
    <w:rsid w:val="006A7463"/>
    <w:rPr>
      <w:i/>
      <w:iCs/>
    </w:rPr>
  </w:style>
  <w:style w:type="paragraph" w:styleId="NoSpacing">
    <w:name w:val="No Spacing"/>
    <w:uiPriority w:val="1"/>
    <w:qFormat/>
    <w:rsid w:val="00A511A4"/>
    <w:pPr>
      <w:spacing w:after="0" w:line="240" w:lineRule="auto"/>
    </w:pPr>
  </w:style>
  <w:style w:type="character" w:customStyle="1" w:styleId="st">
    <w:name w:val="st"/>
    <w:basedOn w:val="DefaultParagraphFont"/>
    <w:rsid w:val="0089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18682715">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70857540">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lme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ijoletirevicien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auragesvvg@gmail.com"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ma.lt/"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052CB5-2847-40BE-B939-4F394FAA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2354</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12</cp:revision>
  <dcterms:created xsi:type="dcterms:W3CDTF">2018-01-04T13:01:00Z</dcterms:created>
  <dcterms:modified xsi:type="dcterms:W3CDTF">2018-03-15T08:09:00Z</dcterms:modified>
</cp:coreProperties>
</file>